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>园艺园林学院2020年度“教学专项评价”工作方案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黑龙江八一农垦大学专业技术职务评聘暂行办法》（农垦校发〔2020〕30号）精神，学校自2020年起，对拟晋升教师系列专业技术职务人员增加了“教学专项评价”考核条件。根据学院实际情况及学校要求制订方案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一、评价组织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教师系列专业技术职务评审中，拟晋升正高级职务者，由校教学督导委员会组织开展“教学专项评价”工作，并出具评价意见；拟晋升中级职务者和拟晋升副高级职务者，由院（部）教学督导组进行“教学专项评价”并出具评价意见；学院成立教学督导组，学院院长任组长，教学院长任副组长，成员由校级教学督导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教指委成员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组成如下：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主任委员：  杨凤军  （院长   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副主任委员：盛云燕  （教学副院长   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委员会委员：廉  华  （园艺系       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王洪义  （园林系主任   副教授）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靳亚忠  （设施系主任   副教授）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王茹华  （园艺系主任  副教授）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刘芳    （实验中心主任  副教授）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纪鹏    （园林系副主任  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于高波  （设施系主任   副教授）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景艳莉  （校教学督导   副教授）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秘书： 张 吉   （综合办主任）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教学评价以线下方式进行，以督导“随堂听课”和“监控看课”为主，结合教师教学资料（含：课件、教学大纲、教学进度表、教案等由参评教师提供）及近三年的评教结果综合开展评价。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“教学专项评价”结果分为：优、良、中、及格和不及格五个等级。校、院两级督导组织可根据《教学专项评价表》（见附件1）中的“评价观测点”打分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，并评定专项评价等级。评价结果2年内有效。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四、评价时间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根据学校要求，学院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教指委和教学督导</w:t>
      </w:r>
      <w:r>
        <w:rPr>
          <w:rFonts w:hint="eastAsia" w:ascii="仿宋_GB2312" w:hAnsi="仿宋_GB2312" w:eastAsia="仿宋_GB2312" w:cs="仿宋_GB2312"/>
          <w:sz w:val="32"/>
          <w:szCs w:val="32"/>
        </w:rPr>
        <w:t>拟定于8月24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学院对参加拟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晋升</w:t>
      </w:r>
      <w:r>
        <w:rPr>
          <w:rFonts w:hint="eastAsia" w:ascii="仿宋_GB2312" w:hAnsi="仿宋_GB2312" w:eastAsia="仿宋_GB2312" w:cs="仿宋_GB2312"/>
          <w:sz w:val="32"/>
          <w:szCs w:val="32"/>
        </w:rPr>
        <w:t>副高级职务者和拟晋升中级职务者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进行别的随机抽查，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教指委和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教学督导进行“教学专项评价”并出具评价意见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五、工作纪律和要求：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1、根据每学期初制订的听课计划，采取随机听课方式。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2、督导工作必须做到实事求是、公平公正。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教指委成员、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教学督导员要加强学习，定期探讨教学督导工作的规律，不断提高教学督导工作水平。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教指委成员、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教学督导员要遵守工作纪律，未经同意，个人不得以任何形式泄露督导评估意见。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六、听课结果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听课结果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教学专项评价意见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汇总后，进行公示。评价结果作为拟晋升职称的重要依据。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园艺园林学院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2020年8月23日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center"/>
        <w:textAlignment w:val="auto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kern w:val="0"/>
          <w:sz w:val="36"/>
          <w:szCs w:val="36"/>
        </w:rPr>
        <w:t>黑龙江八一农垦大学教学专项评价表（线下教学）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00" w:lineRule="exact"/>
        <w:jc w:val="center"/>
        <w:textAlignment w:val="auto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24"/>
        </w:rPr>
        <w:t>学院（部）：                     周次          星期        第   节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"/>
        <w:gridCol w:w="2257"/>
        <w:gridCol w:w="522"/>
        <w:gridCol w:w="94"/>
        <w:gridCol w:w="571"/>
        <w:gridCol w:w="526"/>
        <w:gridCol w:w="163"/>
        <w:gridCol w:w="55"/>
        <w:gridCol w:w="1684"/>
        <w:gridCol w:w="720"/>
        <w:gridCol w:w="1170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41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授课班级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任课教师</w:t>
            </w:r>
          </w:p>
        </w:tc>
        <w:tc>
          <w:tcPr>
            <w:tcW w:w="28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授课地点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应到     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17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讲授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提要</w:t>
            </w:r>
          </w:p>
        </w:tc>
        <w:tc>
          <w:tcPr>
            <w:tcW w:w="9066" w:type="dxa"/>
            <w:gridSpan w:val="13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    学    评   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2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评价项目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分值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  <w:tc>
          <w:tcPr>
            <w:tcW w:w="431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评价项目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分值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教学态度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按时到教室，按时上下课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方法</w:t>
            </w:r>
          </w:p>
        </w:tc>
        <w:tc>
          <w:tcPr>
            <w:tcW w:w="357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采用启发式、探究式等教学方式，促进学生积极思考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教学准备（讲稿、教案）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讲课对学生的吸引力、感染力、有热情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66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师生互动，课堂气氛活跃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6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不照本（屏）宣科、结合自己理解讲授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仪表与教态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根据不同层次的学生因材施教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教学表达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语言表达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学习方法和学习能力的培养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多媒体和板书运用合理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管理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学生听课情绪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内容熟练、讲授思路清晰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严肃课堂纪律，维护课堂情况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简练准确、重点突出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学生迟到、早退、缺课情况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概念与原理透彻、清楚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学生教材使用情况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内容充实、深广度适合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4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学生上课秩序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联系实际情况</w:t>
            </w:r>
          </w:p>
        </w:tc>
        <w:tc>
          <w:tcPr>
            <w:tcW w:w="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6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31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总     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评语</w:t>
            </w:r>
          </w:p>
        </w:tc>
        <w:tc>
          <w:tcPr>
            <w:tcW w:w="4140" w:type="dxa"/>
            <w:gridSpan w:val="6"/>
            <w:tcBorders>
              <w:right w:val="dash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926" w:type="dxa"/>
            <w:gridSpan w:val="7"/>
            <w:tcBorders>
              <w:left w:val="dashed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546" w:rightChars="-260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>督导</w:t>
      </w:r>
      <w:r>
        <w:rPr>
          <w:rFonts w:hint="eastAsia" w:ascii="宋体" w:hAnsi="宋体" w:eastAsia="宋体" w:cs="Times New Roman"/>
          <w:szCs w:val="21"/>
        </w:rPr>
        <w:t xml:space="preserve">签字：                                                         年      月 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A3D0CA-9CBB-47FB-B4EB-786389C9E2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0084DA6-74DC-4BF2-BCDA-F16BB1A230FE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3" w:fontKey="{C5B17F4C-5FAB-474A-8109-7FA8FBB1FB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7"/>
    <w:rsid w:val="0003411C"/>
    <w:rsid w:val="001D3ED3"/>
    <w:rsid w:val="00554BA1"/>
    <w:rsid w:val="005731E2"/>
    <w:rsid w:val="00590320"/>
    <w:rsid w:val="007C2917"/>
    <w:rsid w:val="008524E4"/>
    <w:rsid w:val="00A907CB"/>
    <w:rsid w:val="00B041A2"/>
    <w:rsid w:val="00CA0275"/>
    <w:rsid w:val="00DC0A10"/>
    <w:rsid w:val="00EC6F7F"/>
    <w:rsid w:val="092E53F6"/>
    <w:rsid w:val="0EB92CAB"/>
    <w:rsid w:val="0F544610"/>
    <w:rsid w:val="19A93FDE"/>
    <w:rsid w:val="45146DE6"/>
    <w:rsid w:val="480B70E6"/>
    <w:rsid w:val="734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1360</Characters>
  <Lines>11</Lines>
  <Paragraphs>3</Paragraphs>
  <TotalTime>13</TotalTime>
  <ScaleCrop>false</ScaleCrop>
  <LinksUpToDate>false</LinksUpToDate>
  <CharactersWithSpaces>1595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2020-08-22T23:58:00Z</dcterms:created>
  <dc:creator>Lenovo</dc:creator>
  <cp:lastModifiedBy>sheng</cp:lastModifiedBy>
  <dcterms:modified xsi:type="dcterms:W3CDTF">2020-08-25T01:11:08Z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